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1D2" w:rsidRPr="001501D2" w:rsidRDefault="001501D2" w:rsidP="001501D2">
      <w:pPr>
        <w:jc w:val="center"/>
        <w:rPr>
          <w:rFonts w:ascii="FrankRuehl" w:hAnsi="FrankRuehl" w:cs="FrankRuehl"/>
          <w:b/>
          <w:bCs/>
          <w:color w:val="002060"/>
          <w:sz w:val="28"/>
          <w:szCs w:val="28"/>
          <w:u w:val="single"/>
          <w:rtl/>
        </w:rPr>
      </w:pPr>
      <w:r w:rsidRPr="001501D2">
        <w:rPr>
          <w:rFonts w:ascii="FrankRuehl" w:hAnsi="FrankRuehl" w:cs="FrankRuehl"/>
          <w:b/>
          <w:bCs/>
          <w:color w:val="002060"/>
          <w:sz w:val="28"/>
          <w:szCs w:val="28"/>
          <w:u w:val="single"/>
          <w:rtl/>
        </w:rPr>
        <w:t>תקציר החלטה</w:t>
      </w:r>
    </w:p>
    <w:p w:rsidR="001501D2" w:rsidRPr="001501D2" w:rsidRDefault="001501D2" w:rsidP="001501D2">
      <w:pPr>
        <w:jc w:val="both"/>
        <w:rPr>
          <w:rFonts w:ascii="FrankRuehl" w:hAnsi="FrankRuehl" w:cs="FrankRuehl"/>
          <w:b/>
          <w:bCs/>
          <w:color w:val="002060"/>
          <w:sz w:val="28"/>
          <w:szCs w:val="28"/>
          <w:rtl/>
        </w:rPr>
      </w:pPr>
      <w:proofErr w:type="spellStart"/>
      <w:r w:rsidRPr="001501D2">
        <w:rPr>
          <w:rFonts w:ascii="FrankRuehl" w:hAnsi="FrankRuehl" w:cs="FrankRuehl"/>
          <w:b/>
          <w:bCs/>
          <w:color w:val="002060"/>
          <w:sz w:val="28"/>
          <w:szCs w:val="28"/>
          <w:u w:val="single"/>
          <w:rtl/>
        </w:rPr>
        <w:t>חדל"ת</w:t>
      </w:r>
      <w:proofErr w:type="spellEnd"/>
      <w:r w:rsidRPr="001501D2">
        <w:rPr>
          <w:rFonts w:ascii="FrankRuehl" w:hAnsi="FrankRuehl" w:cs="FrankRuehl"/>
          <w:b/>
          <w:bCs/>
          <w:color w:val="002060"/>
          <w:sz w:val="28"/>
          <w:szCs w:val="28"/>
          <w:u w:val="single"/>
          <w:rtl/>
        </w:rPr>
        <w:t xml:space="preserve"> </w:t>
      </w:r>
      <w:bookmarkStart w:id="0" w:name="_GoBack"/>
      <w:r w:rsidRPr="001501D2">
        <w:rPr>
          <w:rFonts w:ascii="FrankRuehl" w:hAnsi="FrankRuehl" w:cs="FrankRuehl"/>
          <w:b/>
          <w:bCs/>
          <w:color w:val="002060"/>
          <w:sz w:val="28"/>
          <w:szCs w:val="28"/>
          <w:u w:val="single"/>
          <w:rtl/>
        </w:rPr>
        <w:t>31708-10-23</w:t>
      </w:r>
      <w:bookmarkEnd w:id="0"/>
      <w:r w:rsidRPr="001501D2">
        <w:rPr>
          <w:rFonts w:ascii="FrankRuehl" w:hAnsi="FrankRuehl" w:cs="FrankRuehl"/>
          <w:b/>
          <w:bCs/>
          <w:color w:val="002060"/>
          <w:sz w:val="28"/>
          <w:szCs w:val="28"/>
          <w:rtl/>
        </w:rPr>
        <w:t xml:space="preserve"> פורת ניהול מלונות בע"מ ואח' נ' בנק לאומי לישראל בע"מ יהודה הלוי 24, תל אביב(נושה) ואח'</w:t>
      </w:r>
    </w:p>
    <w:p w:rsidR="001501D2" w:rsidRPr="001501D2" w:rsidRDefault="001501D2" w:rsidP="001501D2">
      <w:pPr>
        <w:rPr>
          <w:rFonts w:ascii="FrankRuehl" w:hAnsi="FrankRuehl" w:cs="FrankRuehl"/>
          <w:b/>
          <w:bCs/>
          <w:color w:val="002060"/>
          <w:sz w:val="28"/>
          <w:szCs w:val="28"/>
          <w:rtl/>
        </w:rPr>
      </w:pPr>
      <w:proofErr w:type="spellStart"/>
      <w:r w:rsidRPr="001501D2">
        <w:rPr>
          <w:rFonts w:ascii="FrankRuehl" w:hAnsi="FrankRuehl" w:cs="FrankRuehl"/>
          <w:b/>
          <w:bCs/>
          <w:color w:val="002060"/>
          <w:sz w:val="28"/>
          <w:szCs w:val="28"/>
          <w:u w:val="single"/>
          <w:rtl/>
        </w:rPr>
        <w:t>חדל"ת</w:t>
      </w:r>
      <w:proofErr w:type="spellEnd"/>
      <w:r w:rsidRPr="001501D2">
        <w:rPr>
          <w:rFonts w:ascii="FrankRuehl" w:hAnsi="FrankRuehl" w:cs="FrankRuehl"/>
          <w:b/>
          <w:bCs/>
          <w:color w:val="002060"/>
          <w:sz w:val="28"/>
          <w:szCs w:val="28"/>
          <w:u w:val="single"/>
          <w:rtl/>
        </w:rPr>
        <w:t xml:space="preserve"> 31698-10-23</w:t>
      </w:r>
      <w:r w:rsidRPr="001501D2">
        <w:rPr>
          <w:rFonts w:ascii="FrankRuehl" w:hAnsi="FrankRuehl" w:cs="FrankRuehl"/>
          <w:b/>
          <w:bCs/>
          <w:color w:val="002060"/>
          <w:sz w:val="28"/>
          <w:szCs w:val="28"/>
          <w:rtl/>
        </w:rPr>
        <w:t xml:space="preserve"> פורת מלונות 2022 בע"מ נ' אייקון </w:t>
      </w:r>
      <w:proofErr w:type="spellStart"/>
      <w:r w:rsidRPr="001501D2">
        <w:rPr>
          <w:rFonts w:ascii="FrankRuehl" w:hAnsi="FrankRuehl" w:cs="FrankRuehl"/>
          <w:b/>
          <w:bCs/>
          <w:color w:val="002060"/>
          <w:sz w:val="28"/>
          <w:szCs w:val="28"/>
          <w:rtl/>
        </w:rPr>
        <w:t>גרופ</w:t>
      </w:r>
      <w:proofErr w:type="spellEnd"/>
      <w:r w:rsidRPr="001501D2">
        <w:rPr>
          <w:rFonts w:ascii="FrankRuehl" w:hAnsi="FrankRuehl" w:cs="FrankRuehl"/>
          <w:b/>
          <w:bCs/>
          <w:color w:val="002060"/>
          <w:sz w:val="28"/>
          <w:szCs w:val="28"/>
          <w:rtl/>
        </w:rPr>
        <w:t xml:space="preserve"> בע"מ(נושה) ואח'</w:t>
      </w:r>
    </w:p>
    <w:p w:rsidR="00554F57" w:rsidRDefault="001501D2" w:rsidP="001501D2">
      <w:pPr>
        <w:jc w:val="center"/>
        <w:rPr>
          <w:rFonts w:ascii="FrankRuehl" w:hAnsi="FrankRuehl" w:cs="FrankRuehl"/>
          <w:b/>
          <w:bCs/>
          <w:color w:val="002060"/>
          <w:sz w:val="28"/>
          <w:szCs w:val="28"/>
          <w:u w:val="single"/>
          <w:rtl/>
        </w:rPr>
      </w:pPr>
      <w:r w:rsidRPr="001501D2">
        <w:rPr>
          <w:rFonts w:ascii="FrankRuehl" w:hAnsi="FrankRuehl" w:cs="FrankRuehl"/>
          <w:b/>
          <w:bCs/>
          <w:color w:val="002060"/>
          <w:sz w:val="28"/>
          <w:szCs w:val="28"/>
          <w:u w:val="single"/>
          <w:rtl/>
        </w:rPr>
        <w:t>בפני כב' סגנית הנשיא השופטת בטינה טאובר</w:t>
      </w:r>
    </w:p>
    <w:p w:rsid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ביום 24/10/23 ולאחר דיון דחוף שהתקיים בנוכחות בא כוח החברות, בעל המניות, בא כוח העובדים באי כוח הנושים ובאת כוח הממונה על חדלות פירעון, ניתן בבית המשפט המחוזי בחיפה צו פתיחת הליכים על דרך של הבראה ושיקום לרשת מלונות אוליב רימונים – המנוהלות בין היתר באמצעות חברת פורת ניהול מלונות בע"מ ופורת מלונות 2002 בע"מ. במסגרת צו פתיחת ההליכים מונו עורכי הדין ארז חבר ורון חכים כנאמנים.</w:t>
      </w:r>
    </w:p>
    <w:p w:rsidR="001501D2" w:rsidRPr="001501D2" w:rsidRDefault="001501D2" w:rsidP="001501D2">
      <w:pPr>
        <w:spacing w:after="0" w:line="360" w:lineRule="auto"/>
        <w:jc w:val="both"/>
        <w:rPr>
          <w:rFonts w:ascii="David" w:hAnsi="David" w:cs="David"/>
          <w:sz w:val="24"/>
          <w:szCs w:val="24"/>
        </w:rPr>
      </w:pPr>
    </w:p>
    <w:p w:rsid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הרשת הוקמה לפני כשני עשורים על ידי מר עמית פורת על מנת לשמש כרשת לאירוח כפרי ברחבי הארץ. עם השנים הרחיבה הרשת את פעילותה ונכנסה גם לתחום המלונאות העירונית. בתקופת השיא הפעילה הרשת כ-18מלונות ברחבי הארץ.</w:t>
      </w:r>
    </w:p>
    <w:p w:rsidR="001501D2" w:rsidRPr="001501D2" w:rsidRDefault="001501D2" w:rsidP="001501D2">
      <w:pPr>
        <w:spacing w:after="0" w:line="360" w:lineRule="auto"/>
        <w:jc w:val="both"/>
        <w:rPr>
          <w:rFonts w:ascii="David" w:hAnsi="David" w:cs="David"/>
          <w:sz w:val="24"/>
          <w:szCs w:val="24"/>
          <w:rtl/>
        </w:rPr>
      </w:pPr>
    </w:p>
    <w:p w:rsid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 xml:space="preserve">עד סמוך להגשת הבקשה למתן צו פתיחת הליכים הפעילה הרשת כ-7 מלונות בלבד וביניהם מלון רימונים מדיסון בנהריה, רימונים שני בעיר ירושלים, מלון אקוודוקט בקיבוץ רגבה, מלון אוליב בגלבוע, מלון שבטים בכפר תבור, מלון אוליב וכן מלון </w:t>
      </w:r>
      <w:proofErr w:type="spellStart"/>
      <w:r w:rsidRPr="001501D2">
        <w:rPr>
          <w:rFonts w:ascii="David" w:hAnsi="David" w:cs="David"/>
          <w:sz w:val="24"/>
          <w:szCs w:val="24"/>
          <w:rtl/>
        </w:rPr>
        <w:t>גורדונס</w:t>
      </w:r>
      <w:proofErr w:type="spellEnd"/>
      <w:r w:rsidRPr="001501D2">
        <w:rPr>
          <w:rFonts w:ascii="David" w:hAnsi="David" w:cs="David"/>
          <w:sz w:val="24"/>
          <w:szCs w:val="24"/>
          <w:rtl/>
        </w:rPr>
        <w:t xml:space="preserve"> ספא.</w:t>
      </w:r>
    </w:p>
    <w:p w:rsidR="001501D2" w:rsidRPr="001501D2" w:rsidRDefault="001501D2" w:rsidP="001501D2">
      <w:pPr>
        <w:spacing w:after="0" w:line="360" w:lineRule="auto"/>
        <w:jc w:val="both"/>
        <w:rPr>
          <w:rFonts w:ascii="David" w:hAnsi="David" w:cs="David"/>
          <w:sz w:val="24"/>
          <w:szCs w:val="24"/>
          <w:rtl/>
        </w:rPr>
      </w:pPr>
    </w:p>
    <w:p w:rsid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 xml:space="preserve">עם מתן צו פתיחת ההליכים וכניסתם של הנאמנים לתפקידם, נדרשו הנאמנים לתת מענה מידי לפעילות בתי המלון המאכלסים בימים אלה אזרחים מפונים מיישובי הגבול וכן אנשי כוחות הביטחון. אלה זקוקים למתן שירותי אירוח, כלכלה ומזון. </w:t>
      </w:r>
    </w:p>
    <w:p w:rsidR="001501D2" w:rsidRP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זה ולבקשת הנאמנים קיים בית המשפט עוד ביום 25/10/23 דיון דחוף נוסף בנוכחות הנאמן עו"ד רון חכים בו אישר בית המשפט לבקשת הנאמן נטילת מימון ראשוני בסך של 250,000 ₪ מבנק דיסקונט לישראל בע"מ, שהינו הנושה הבנקאי הגדול והמובטח של החברות, על מנת לאפשר אספקת שירותי אירוח ומזון למפונים.</w:t>
      </w:r>
    </w:p>
    <w:p w:rsidR="001501D2" w:rsidRPr="001501D2" w:rsidRDefault="001501D2" w:rsidP="001501D2">
      <w:pPr>
        <w:spacing w:after="0" w:line="360" w:lineRule="auto"/>
        <w:jc w:val="both"/>
        <w:rPr>
          <w:rFonts w:ascii="David" w:hAnsi="David" w:cs="David"/>
          <w:sz w:val="24"/>
          <w:szCs w:val="24"/>
          <w:rtl/>
        </w:rPr>
      </w:pPr>
      <w:r w:rsidRPr="001501D2">
        <w:rPr>
          <w:rFonts w:ascii="David" w:hAnsi="David" w:cs="David"/>
          <w:sz w:val="24"/>
          <w:szCs w:val="24"/>
          <w:rtl/>
        </w:rPr>
        <w:t xml:space="preserve">בהמשך, לבקשת הנאמנים נעתר בית המשפט לבקשה דחופה שהוגשה על ידי הנאמנים ביום ששי ה-27/10/23 בהסכמת הממונה על חדלות פירעון ואשר תאפשר את המשך הפעלת מלונות הרשת המאכלסים כיום בעיקר מפונים מקווי העימות ואנשי כוחות ביטחון, תוך מתן אישור להמשך </w:t>
      </w:r>
      <w:proofErr w:type="spellStart"/>
      <w:r w:rsidRPr="001501D2">
        <w:rPr>
          <w:rFonts w:ascii="David" w:hAnsi="David" w:cs="David"/>
          <w:sz w:val="24"/>
          <w:szCs w:val="24"/>
          <w:rtl/>
        </w:rPr>
        <w:t>איכלוסם</w:t>
      </w:r>
      <w:proofErr w:type="spellEnd"/>
      <w:r w:rsidRPr="001501D2">
        <w:rPr>
          <w:rFonts w:ascii="David" w:hAnsi="David" w:cs="David"/>
          <w:sz w:val="24"/>
          <w:szCs w:val="24"/>
          <w:rtl/>
        </w:rPr>
        <w:t xml:space="preserve"> של בתי המלון במפונים ואנשי כוחות הביטחון, גם אם עלולה הפעלה זו להסתמן כגרעונית בסוף הדרך. בהקשר זה נשקל בין היתר הצורך החיוני העומד על הפרק על רקע המצב </w:t>
      </w:r>
      <w:r w:rsidRPr="001501D2">
        <w:rPr>
          <w:rFonts w:ascii="David" w:hAnsi="David" w:cs="David" w:hint="cs"/>
          <w:sz w:val="24"/>
          <w:szCs w:val="24"/>
          <w:rtl/>
        </w:rPr>
        <w:t>הביטחונ</w:t>
      </w:r>
      <w:r w:rsidRPr="001501D2">
        <w:rPr>
          <w:rFonts w:ascii="David" w:hAnsi="David" w:cs="David" w:hint="eastAsia"/>
          <w:sz w:val="24"/>
          <w:szCs w:val="24"/>
          <w:rtl/>
        </w:rPr>
        <w:t>י</w:t>
      </w:r>
      <w:r w:rsidRPr="001501D2">
        <w:rPr>
          <w:rFonts w:ascii="David" w:hAnsi="David" w:cs="David"/>
          <w:sz w:val="24"/>
          <w:szCs w:val="24"/>
          <w:rtl/>
        </w:rPr>
        <w:t xml:space="preserve"> והמחייב לאפשר את אכלוסם של המפונים בבתי המלון של הרשת</w:t>
      </w:r>
      <w:r>
        <w:rPr>
          <w:rFonts w:ascii="David" w:hAnsi="David" w:cs="David" w:hint="cs"/>
          <w:sz w:val="24"/>
          <w:szCs w:val="24"/>
          <w:rtl/>
        </w:rPr>
        <w:t>.</w:t>
      </w:r>
    </w:p>
    <w:p w:rsidR="001501D2" w:rsidRPr="001501D2" w:rsidRDefault="001501D2" w:rsidP="001501D2">
      <w:pPr>
        <w:jc w:val="center"/>
        <w:rPr>
          <w:rFonts w:ascii="FrankRuehl" w:hAnsi="FrankRuehl" w:cs="FrankRuehl"/>
          <w:b/>
          <w:bCs/>
          <w:color w:val="002060"/>
          <w:sz w:val="28"/>
          <w:szCs w:val="28"/>
          <w:u w:val="single"/>
        </w:rPr>
      </w:pPr>
    </w:p>
    <w:sectPr w:rsidR="001501D2" w:rsidRPr="001501D2" w:rsidSect="007A3B8A">
      <w:headerReference w:type="default" r:id="rId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D2" w:rsidRDefault="001501D2" w:rsidP="001501D2">
      <w:pPr>
        <w:spacing w:after="0" w:line="240" w:lineRule="auto"/>
      </w:pPr>
      <w:r>
        <w:separator/>
      </w:r>
    </w:p>
  </w:endnote>
  <w:endnote w:type="continuationSeparator" w:id="0">
    <w:p w:rsidR="001501D2" w:rsidRDefault="001501D2" w:rsidP="00150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D2" w:rsidRDefault="001501D2" w:rsidP="001501D2">
      <w:pPr>
        <w:spacing w:after="0" w:line="240" w:lineRule="auto"/>
      </w:pPr>
      <w:r>
        <w:separator/>
      </w:r>
    </w:p>
  </w:footnote>
  <w:footnote w:type="continuationSeparator" w:id="0">
    <w:p w:rsidR="001501D2" w:rsidRDefault="001501D2" w:rsidP="00150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1D2" w:rsidRDefault="001501D2" w:rsidP="001501D2">
    <w:pPr>
      <w:pStyle w:val="a3"/>
      <w:tabs>
        <w:tab w:val="clear" w:pos="8306"/>
      </w:tabs>
      <w:jc w:val="center"/>
      <w:rPr>
        <w:rtl/>
      </w:rPr>
    </w:pPr>
    <w:r>
      <w:rPr>
        <w:noProof/>
      </w:rPr>
      <w:drawing>
        <wp:inline distT="0" distB="0" distL="0" distR="0" wp14:anchorId="0B98BBEE" wp14:editId="7D6E466A">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1501D2" w:rsidTr="001501D2">
      <w:trPr>
        <w:trHeight w:hRule="exact" w:val="418"/>
        <w:jc w:val="center"/>
      </w:trPr>
      <w:sdt>
        <w:sdtPr>
          <w:rPr>
            <w:rtl/>
          </w:rPr>
          <w:alias w:val="162"/>
          <w:tag w:val="162"/>
          <w:id w:val="1282998781"/>
          <w:text w:multiLine="1"/>
        </w:sdtPr>
        <w:sdtEndPr/>
        <w:sdtContent>
          <w:tc>
            <w:tcPr>
              <w:tcW w:w="8306" w:type="dxa"/>
            </w:tcPr>
            <w:p w:rsidR="001501D2" w:rsidRDefault="001501D2" w:rsidP="001501D2">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בחיפה</w:t>
              </w:r>
            </w:p>
          </w:tc>
        </w:sdtContent>
      </w:sdt>
    </w:tr>
  </w:tbl>
  <w:p w:rsidR="001501D2" w:rsidRDefault="001501D2" w:rsidP="001501D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1D2"/>
    <w:rsid w:val="000A42FD"/>
    <w:rsid w:val="001501D2"/>
    <w:rsid w:val="00554F57"/>
    <w:rsid w:val="007A3B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E1739F-B185-49B8-98CF-A9BD8207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01D2"/>
    <w:pPr>
      <w:tabs>
        <w:tab w:val="center" w:pos="4153"/>
        <w:tab w:val="right" w:pos="8306"/>
      </w:tabs>
      <w:spacing w:after="0" w:line="240" w:lineRule="auto"/>
    </w:pPr>
  </w:style>
  <w:style w:type="character" w:customStyle="1" w:styleId="a4">
    <w:name w:val="כותרת עליונה תו"/>
    <w:basedOn w:val="a0"/>
    <w:link w:val="a3"/>
    <w:uiPriority w:val="99"/>
    <w:rsid w:val="001501D2"/>
  </w:style>
  <w:style w:type="paragraph" w:styleId="a5">
    <w:name w:val="footer"/>
    <w:basedOn w:val="a"/>
    <w:link w:val="a6"/>
    <w:uiPriority w:val="99"/>
    <w:unhideWhenUsed/>
    <w:rsid w:val="001501D2"/>
    <w:pPr>
      <w:tabs>
        <w:tab w:val="center" w:pos="4153"/>
        <w:tab w:val="right" w:pos="8306"/>
      </w:tabs>
      <w:spacing w:after="0" w:line="240" w:lineRule="auto"/>
    </w:pPr>
  </w:style>
  <w:style w:type="character" w:customStyle="1" w:styleId="a6">
    <w:name w:val="כותרת תחתונה תו"/>
    <w:basedOn w:val="a0"/>
    <w:link w:val="a5"/>
    <w:uiPriority w:val="99"/>
    <w:rsid w:val="00150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11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1663</Characters>
  <Application>Microsoft Office Word</Application>
  <DocSecurity>4</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גרמאו מנגיסטו</cp:lastModifiedBy>
  <cp:revision>2</cp:revision>
  <dcterms:created xsi:type="dcterms:W3CDTF">2023-11-01T13:07:00Z</dcterms:created>
  <dcterms:modified xsi:type="dcterms:W3CDTF">2023-11-01T13:07:00Z</dcterms:modified>
</cp:coreProperties>
</file>